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</w:pPr>
      <w:r>
        <w:rPr>
          <w:rFonts w:ascii="Georgia" w:hAnsi="Georgia"/>
          <w:color w:val="2E5A57"/>
          <w:sz w:val="48"/>
        </w:rPr>
        <w:t>Samværsavtale</w:t>
      </w:r>
    </w:p>
    <w:p>
      <w:r>
        <w:rPr>
          <w:sz w:val="22"/>
        </w:rPr>
        <w:t xml:space="preserve">Mellom </w:t>
      </w:r>
      <w:r>
        <w:rPr>
          <w:color w:val="526D6A"/>
          <w:sz w:val="22"/>
          <w:highlight w:val="lightGray"/>
        </w:rPr>
        <w:t>[forelder 1]</w:t>
      </w:r>
      <w:r>
        <w:rPr>
          <w:sz w:val="22"/>
        </w:rPr>
        <w:t xml:space="preserve"> og </w:t>
      </w:r>
      <w:r>
        <w:rPr>
          <w:color w:val="526D6A"/>
          <w:sz w:val="22"/>
          <w:highlight w:val="lightGray"/>
        </w:rPr>
        <w:t>[forelder 2]</w:t>
      </w:r>
      <w:r>
        <w:rPr>
          <w:sz w:val="22"/>
        </w:rPr>
        <w:t xml:space="preserve"> er det inngått følgende avtale om våre felles barn: </w:t>
      </w:r>
      <w:r>
        <w:rPr>
          <w:color w:val="526D6A"/>
          <w:sz w:val="22"/>
          <w:highlight w:val="lightGray"/>
        </w:rPr>
        <w:t>[navn og fødselsdato til barna]</w:t>
      </w:r>
      <w:r>
        <w:rPr>
          <w:sz w:val="22"/>
        </w:rPr>
        <w:t>.</w:t>
      </w:r>
    </w:p>
    <w:p>
      <w:pPr>
        <w:keepNext/>
        <w:spacing w:before="280" w:after="80"/>
      </w:pPr>
      <w:r>
        <w:rPr>
          <w:rFonts w:ascii="Georgia" w:hAnsi="Georgia"/>
          <w:b/>
          <w:color w:val="2E5A57"/>
          <w:sz w:val="26"/>
        </w:rPr>
        <w:t>1. Foreldreansvar</w:t>
      </w:r>
    </w:p>
    <w:p>
      <w:r>
        <w:rPr>
          <w:sz w:val="22"/>
        </w:rPr>
        <w:t>Vi har felles foreldreansvar. Det betyr at vi sammen tar de store avgjørelsene for barna, som pass, skolevalg og flytting til utlandet.</w:t>
      </w:r>
    </w:p>
    <w:p>
      <w:pPr>
        <w:keepNext/>
        <w:spacing w:before="280" w:after="80"/>
      </w:pPr>
      <w:r>
        <w:rPr>
          <w:rFonts w:ascii="Georgia" w:hAnsi="Georgia"/>
          <w:b/>
          <w:color w:val="2E5A57"/>
          <w:sz w:val="26"/>
        </w:rPr>
        <w:t>2. Fast bosted</w:t>
      </w:r>
    </w:p>
    <w:p>
      <w:r>
        <w:rPr>
          <w:sz w:val="22"/>
        </w:rPr>
        <w:t xml:space="preserve">Barna skal bo fast hos </w:t>
      </w:r>
      <w:r>
        <w:rPr>
          <w:color w:val="526D6A"/>
          <w:sz w:val="22"/>
          <w:highlight w:val="lightGray"/>
        </w:rPr>
        <w:t>[forelder 1]</w:t>
      </w:r>
      <w:r>
        <w:rPr>
          <w:sz w:val="22"/>
        </w:rPr>
        <w:t>, jf. barneloven § 36.</w:t>
      </w:r>
    </w:p>
    <w:p>
      <w:pPr>
        <w:keepNext/>
        <w:spacing w:before="280" w:after="80"/>
      </w:pPr>
      <w:r>
        <w:rPr>
          <w:rFonts w:ascii="Georgia" w:hAnsi="Georgia"/>
          <w:b/>
          <w:color w:val="2E5A57"/>
          <w:sz w:val="26"/>
        </w:rPr>
        <w:t>3. Hverdagen</w:t>
      </w:r>
    </w:p>
    <w:p>
      <w:r>
        <w:rPr>
          <w:sz w:val="22"/>
        </w:rPr>
        <w:t>Barna bor én uke hos hver av oss.</w:t>
      </w:r>
    </w:p>
    <w:p>
      <w:r>
        <w:rPr>
          <w:sz w:val="22"/>
        </w:rPr>
        <w:t>Ordningen går over to uker og gjentas:</w:t>
      </w:r>
    </w:p>
    <w:p>
      <w:pPr>
        <w:pStyle w:val="ListBullet"/>
      </w:pPr>
      <w:r>
        <w:rPr>
          <w:sz w:val="22"/>
        </w:rPr>
        <w:t xml:space="preserve">Uke 1: Barna sover hos </w:t>
      </w:r>
      <w:r>
        <w:rPr>
          <w:color w:val="526D6A"/>
          <w:sz w:val="22"/>
          <w:highlight w:val="lightGray"/>
        </w:rPr>
        <w:t>[forelder 1]</w:t>
      </w:r>
      <w:r>
        <w:rPr>
          <w:sz w:val="22"/>
        </w:rPr>
        <w:t xml:space="preserve"> hele uken.</w:t>
      </w:r>
    </w:p>
    <w:p>
      <w:pPr>
        <w:pStyle w:val="ListBullet"/>
      </w:pPr>
      <w:r>
        <w:rPr>
          <w:sz w:val="22"/>
        </w:rPr>
        <w:t xml:space="preserve">Uke 2: Barna sover hos </w:t>
      </w:r>
      <w:r>
        <w:rPr>
          <w:color w:val="526D6A"/>
          <w:sz w:val="22"/>
          <w:highlight w:val="lightGray"/>
        </w:rPr>
        <w:t>[forelder 2]</w:t>
      </w:r>
      <w:r>
        <w:rPr>
          <w:sz w:val="22"/>
        </w:rPr>
        <w:t xml:space="preserve"> hele uken.</w:t>
      </w:r>
    </w:p>
    <w:p>
      <w:r>
        <w:rPr>
          <w:sz w:val="22"/>
        </w:rPr>
        <w:t>Byttet skjer etter skole eller barnehage.</w:t>
      </w:r>
    </w:p>
    <w:p>
      <w:r>
        <w:rPr>
          <w:sz w:val="22"/>
        </w:rPr>
        <w:t xml:space="preserve">Tiden hos </w:t>
      </w:r>
      <w:r>
        <w:rPr>
          <w:color w:val="526D6A"/>
          <w:sz w:val="22"/>
          <w:highlight w:val="lightGray"/>
        </w:rPr>
        <w:t>[forelder 2]</w:t>
      </w:r>
      <w:r>
        <w:rPr>
          <w:sz w:val="22"/>
        </w:rPr>
        <w:t xml:space="preserve"> er samvær etter barneloven § 43.</w:t>
      </w:r>
    </w:p>
    <w:p>
      <w:pPr>
        <w:keepNext/>
        <w:spacing w:before="280" w:after="80"/>
      </w:pPr>
      <w:r>
        <w:rPr>
          <w:rFonts w:ascii="Georgia" w:hAnsi="Georgia"/>
          <w:b/>
          <w:color w:val="2E5A57"/>
          <w:sz w:val="26"/>
        </w:rPr>
        <w:t>4. Ferier og høytider</w:t>
      </w:r>
    </w:p>
    <w:p>
      <w:r>
        <w:rPr>
          <w:sz w:val="22"/>
        </w:rPr>
        <w:t>Ferier og høytider går foran den vanlige ordningen.</w:t>
      </w:r>
    </w:p>
    <w:p>
      <w:pPr>
        <w:pStyle w:val="ListBullet"/>
      </w:pPr>
      <w:r>
        <w:rPr>
          <w:sz w:val="22"/>
        </w:rPr>
        <w:t>Sommerferie: Barna er halvparten av sommerferien hos hver av oss.</w:t>
      </w:r>
    </w:p>
    <w:p>
      <w:pPr>
        <w:pStyle w:val="ListBullet"/>
      </w:pPr>
      <w:r>
        <w:rPr>
          <w:sz w:val="22"/>
        </w:rPr>
        <w:t xml:space="preserve">Vi avtaler sommerferien innen 1. april hvert år. Blir vi ikke enige, har </w:t>
      </w:r>
      <w:r>
        <w:rPr>
          <w:color w:val="526D6A"/>
          <w:sz w:val="22"/>
          <w:highlight w:val="lightGray"/>
        </w:rPr>
        <w:t>[forelder 1]</w:t>
      </w:r>
      <w:r>
        <w:rPr>
          <w:sz w:val="22"/>
        </w:rPr>
        <w:t xml:space="preserve"> førstevalget i partallsår, og den andre i oddetallsår.</w:t>
      </w:r>
    </w:p>
    <w:p>
      <w:pPr>
        <w:pStyle w:val="ListBullet"/>
      </w:pPr>
      <w:r>
        <w:rPr>
          <w:sz w:val="22"/>
        </w:rPr>
        <w:t xml:space="preserve">Jul: Barna feirer julaften annethvert år hos hver av oss. </w:t>
      </w:r>
      <w:r>
        <w:rPr>
          <w:color w:val="526D6A"/>
          <w:sz w:val="22"/>
          <w:highlight w:val="lightGray"/>
        </w:rPr>
        <w:t>[forelder 1]</w:t>
      </w:r>
      <w:r>
        <w:rPr>
          <w:sz w:val="22"/>
        </w:rPr>
        <w:t xml:space="preserve"> har julaften i </w:t>
      </w:r>
      <w:r>
        <w:rPr>
          <w:color w:val="526D6A"/>
          <w:sz w:val="22"/>
          <w:highlight w:val="lightGray"/>
        </w:rPr>
        <w:t>[år]</w:t>
      </w:r>
      <w:r>
        <w:rPr>
          <w:sz w:val="22"/>
        </w:rPr>
        <w:t>.</w:t>
      </w:r>
    </w:p>
    <w:p>
      <w:pPr>
        <w:pStyle w:val="ListBullet"/>
      </w:pPr>
      <w:r>
        <w:rPr>
          <w:sz w:val="22"/>
        </w:rPr>
        <w:t>Nyttårsaften: Barna er hos den av oss som ikke hadde julaften.</w:t>
      </w:r>
    </w:p>
    <w:p>
      <w:pPr>
        <w:pStyle w:val="ListBullet"/>
      </w:pPr>
      <w:r>
        <w:rPr>
          <w:sz w:val="22"/>
        </w:rPr>
        <w:t xml:space="preserve">Påske: Påsken, fra onsdag før skjærtorsdag til og med andre påskedag, er annethvert år hos hver av oss. </w:t>
      </w:r>
      <w:r>
        <w:rPr>
          <w:color w:val="526D6A"/>
          <w:sz w:val="22"/>
          <w:highlight w:val="lightGray"/>
        </w:rPr>
        <w:t>[forelder 2]</w:t>
      </w:r>
      <w:r>
        <w:rPr>
          <w:sz w:val="22"/>
        </w:rPr>
        <w:t xml:space="preserve"> har påsken i </w:t>
      </w:r>
      <w:r>
        <w:rPr>
          <w:color w:val="526D6A"/>
          <w:sz w:val="22"/>
          <w:highlight w:val="lightGray"/>
        </w:rPr>
        <w:t>[år]</w:t>
      </w:r>
      <w:r>
        <w:rPr>
          <w:sz w:val="22"/>
        </w:rPr>
        <w:t>.</w:t>
      </w:r>
    </w:p>
    <w:p>
      <w:pPr>
        <w:pStyle w:val="ListBullet"/>
      </w:pPr>
      <w:r>
        <w:rPr>
          <w:sz w:val="22"/>
        </w:rPr>
        <w:t xml:space="preserve">Høst- og vinterferie: Barna har høstferien hos den ene og vinterferien hos den andre, og vi bytter hvert år. </w:t>
      </w:r>
      <w:r>
        <w:rPr>
          <w:color w:val="526D6A"/>
          <w:sz w:val="22"/>
          <w:highlight w:val="lightGray"/>
        </w:rPr>
        <w:t>[forelder 1]</w:t>
      </w:r>
      <w:r>
        <w:rPr>
          <w:sz w:val="22"/>
        </w:rPr>
        <w:t xml:space="preserve"> har høstferien i </w:t>
      </w:r>
      <w:r>
        <w:rPr>
          <w:color w:val="526D6A"/>
          <w:sz w:val="22"/>
          <w:highlight w:val="lightGray"/>
        </w:rPr>
        <w:t>[år]</w:t>
      </w:r>
      <w:r>
        <w:rPr>
          <w:sz w:val="22"/>
        </w:rPr>
        <w:t>.</w:t>
      </w:r>
    </w:p>
    <w:p>
      <w:pPr>
        <w:pStyle w:val="ListBullet"/>
      </w:pPr>
      <w:r>
        <w:rPr>
          <w:sz w:val="22"/>
        </w:rPr>
        <w:t>Fødselsdager: Den av oss som ikke har barna på fødselsdagen, kan treffe dem en ettermiddag nær dagen.</w:t>
      </w:r>
    </w:p>
    <w:p>
      <w:pPr>
        <w:keepNext/>
        <w:spacing w:before="280" w:after="80"/>
      </w:pPr>
      <w:r>
        <w:rPr>
          <w:rFonts w:ascii="Georgia" w:hAnsi="Georgia"/>
          <w:b/>
          <w:color w:val="2E5A57"/>
          <w:sz w:val="26"/>
        </w:rPr>
        <w:t>5. Henting og levering</w:t>
      </w:r>
    </w:p>
    <w:p>
      <w:r>
        <w:rPr>
          <w:sz w:val="22"/>
        </w:rPr>
        <w:t>Den som skal ha barna, henter dem.</w:t>
      </w:r>
    </w:p>
    <w:p>
      <w:r>
        <w:rPr>
          <w:sz w:val="22"/>
        </w:rPr>
        <w:t>Reiseutgiftene i forbindelse med samværet deler vi likt.</w:t>
      </w:r>
    </w:p>
    <w:p>
      <w:pPr>
        <w:keepNext/>
        <w:spacing w:before="280" w:after="80"/>
      </w:pPr>
      <w:r>
        <w:rPr>
          <w:rFonts w:ascii="Georgia" w:hAnsi="Georgia"/>
          <w:b/>
          <w:color w:val="2E5A57"/>
          <w:sz w:val="26"/>
        </w:rPr>
        <w:t>6. Kontakt, sykdom og endringer</w:t>
      </w:r>
    </w:p>
    <w:p>
      <w:r>
        <w:rPr>
          <w:sz w:val="22"/>
        </w:rPr>
        <w:t>Barna kan ringe eller ha videosamtale med den av oss de ikke er hos.</w:t>
      </w:r>
    </w:p>
    <w:p>
      <w:r>
        <w:rPr>
          <w:sz w:val="22"/>
        </w:rPr>
        <w:t>Faller tid med barna bort fordi barna er syke, tar vi den igjen så snart det passer for barna.</w:t>
      </w:r>
    </w:p>
    <w:p>
      <w:r>
        <w:rPr>
          <w:sz w:val="22"/>
        </w:rPr>
        <w:t>Endringer i avtalen gjør vi skriftlig, for eksempel på e-post eller melding.</w:t>
      </w:r>
    </w:p>
    <w:p>
      <w:pPr>
        <w:keepNext/>
        <w:spacing w:before="280" w:after="80"/>
      </w:pPr>
      <w:r>
        <w:rPr>
          <w:rFonts w:ascii="Georgia" w:hAnsi="Georgia"/>
          <w:b/>
          <w:color w:val="2E5A57"/>
          <w:sz w:val="26"/>
        </w:rPr>
        <w:t>7. Barnebidrag</w:t>
      </w:r>
    </w:p>
    <w:p>
      <w:r>
        <w:rPr>
          <w:color w:val="526D6A"/>
          <w:sz w:val="22"/>
          <w:highlight w:val="lightGray"/>
        </w:rPr>
        <w:t>[forelder 2]</w:t>
      </w:r>
      <w:r>
        <w:rPr>
          <w:sz w:val="22"/>
        </w:rPr>
        <w:t xml:space="preserve"> betaler kr </w:t>
      </w:r>
      <w:r>
        <w:rPr>
          <w:color w:val="526D6A"/>
          <w:sz w:val="22"/>
          <w:highlight w:val="lightGray"/>
        </w:rPr>
        <w:t>[beløp]</w:t>
      </w:r>
      <w:r>
        <w:rPr>
          <w:sz w:val="22"/>
        </w:rPr>
        <w:t xml:space="preserve"> per måned i barnebidrag til </w:t>
      </w:r>
      <w:r>
        <w:rPr>
          <w:color w:val="526D6A"/>
          <w:sz w:val="22"/>
          <w:highlight w:val="lightGray"/>
        </w:rPr>
        <w:t>[forelder 1]</w:t>
      </w:r>
      <w:r>
        <w:rPr>
          <w:sz w:val="22"/>
        </w:rPr>
        <w:t>.</w:t>
      </w:r>
    </w:p>
    <w:p>
      <w:pPr>
        <w:keepNext/>
        <w:spacing w:before="280" w:after="80"/>
      </w:pPr>
      <w:r>
        <w:rPr>
          <w:rFonts w:ascii="Georgia" w:hAnsi="Georgia"/>
          <w:b/>
          <w:color w:val="2E5A57"/>
          <w:sz w:val="26"/>
        </w:rPr>
        <w:t>8. Barnas mening og evaluering</w:t>
      </w:r>
    </w:p>
    <w:p>
      <w:r>
        <w:rPr>
          <w:sz w:val="22"/>
        </w:rPr>
        <w:t>Barna skal få si sin mening om ordningen, og vi legger mer vekt på det de mener jo eldre de blir, jf. barneloven § 31.</w:t>
      </w:r>
    </w:p>
    <w:p>
      <w:r>
        <w:rPr>
          <w:sz w:val="22"/>
        </w:rPr>
        <w:t xml:space="preserve">Vi går gjennom avtalen sammen innen </w:t>
      </w:r>
      <w:r>
        <w:rPr>
          <w:color w:val="526D6A"/>
          <w:sz w:val="22"/>
          <w:highlight w:val="lightGray"/>
        </w:rPr>
        <w:t>[dato]</w:t>
      </w:r>
      <w:r>
        <w:rPr>
          <w:sz w:val="22"/>
        </w:rPr>
        <w:t>. Fungerer ikke avtalen for barna, forplikter vi oss til å snakke sammen eller gå til mekling.</w:t>
      </w:r>
    </w:p>
    <w:p>
      <w:pPr>
        <w:keepNext/>
        <w:spacing w:before="280" w:after="80"/>
      </w:pPr>
      <w:r>
        <w:rPr>
          <w:rFonts w:ascii="Georgia" w:hAnsi="Georgia"/>
          <w:b/>
          <w:color w:val="2E5A57"/>
          <w:sz w:val="26"/>
        </w:rPr>
        <w:t>9. Underskrift</w:t>
      </w:r>
    </w:p>
    <w:p>
      <w:r>
        <w:rPr>
          <w:sz w:val="22"/>
        </w:rPr>
        <w:t>Avtalen er skrevet i to eksemplarer, ett til hver av oss.</w:t>
      </w:r>
    </w:p>
    <w:p>
      <w:pPr>
        <w:spacing w:before="240"/>
      </w:pPr>
      <w:r>
        <w:rPr>
          <w:color w:val="526D6A"/>
          <w:sz w:val="22"/>
          <w:highlight w:val="lightGray"/>
        </w:rPr>
        <w:t>[sted]</w:t>
      </w:r>
      <w:r>
        <w:rPr>
          <w:sz w:val="22"/>
        </w:rPr>
        <w:t xml:space="preserve">, </w:t>
      </w:r>
      <w:r>
        <w:rPr>
          <w:color w:val="526D6A"/>
          <w:sz w:val="22"/>
          <w:highlight w:val="lightGray"/>
        </w:rPr>
        <w:t>[dato]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</w:tcPr>
          <w:p>
            <w:pPr>
              <w:spacing w:before="800"/>
              <w:pBdr>
                <w:bottom w:val="single" w:sz="8" w:space="1" w:color="1F3432"/>
              </w:pBdr>
            </w:pPr>
          </w:p>
        </w:tc>
        <w:tc>
          <w:tcPr>
            <w:tcW w:type="dxa" w:w="4703"/>
          </w:tcPr>
          <w:p>
            <w:pPr>
              <w:spacing w:before="800"/>
              <w:pBdr>
                <w:bottom w:val="single" w:sz="8" w:space="1" w:color="1F3432"/>
              </w:pBdr>
            </w:pPr>
          </w:p>
        </w:tc>
      </w:tr>
      <w:tr>
        <w:tc>
          <w:tcPr>
            <w:tcW w:type="dxa" w:w="4703"/>
          </w:tcPr>
          <w:p>
            <w:r>
              <w:rPr>
                <w:color w:val="526D6A"/>
                <w:sz w:val="20"/>
                <w:highlight w:val="lightGray"/>
              </w:rPr>
              <w:t>[forelder 1]</w:t>
            </w:r>
          </w:p>
        </w:tc>
        <w:tc>
          <w:tcPr>
            <w:tcW w:type="dxa" w:w="4703"/>
          </w:tcPr>
          <w:p>
            <w:r>
              <w:rPr>
                <w:color w:val="526D6A"/>
                <w:sz w:val="20"/>
                <w:highlight w:val="lightGray"/>
              </w:rPr>
              <w:t>[forelder 2]</w:t>
            </w:r>
          </w:p>
        </w:tc>
      </w:tr>
    </w:tbl>
    <w:p>
      <w:pPr>
        <w:spacing w:before="480"/>
      </w:pPr>
      <w:r>
        <w:rPr>
          <w:color w:val="526D6A"/>
          <w:sz w:val="16"/>
        </w:rPr>
        <w:t>Mal fra familiemekling.no</w:t>
      </w:r>
    </w:p>
    <w:sectPr w:rsidR="00FC693F" w:rsidRPr="0006063C" w:rsidSect="00034616"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Arial" w:hAnsi="Arial" w:eastAsia="Arial"/>
      <w:color w:val="1F3432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Samværsavtale</dc:title>
  <dc:subject/>
  <dc:creator>Familiemekling.no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